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C07" w:rsidRPr="00D67C07" w:rsidRDefault="00D67C07" w:rsidP="00D67C07">
      <w:pPr>
        <w:widowControl/>
        <w:shd w:val="clear" w:color="auto" w:fill="FFFFFF"/>
        <w:spacing w:before="100" w:beforeAutospacing="1" w:after="100" w:afterAutospacing="1" w:line="420" w:lineRule="atLeast"/>
        <w:jc w:val="center"/>
        <w:rPr>
          <w:rFonts w:ascii="微软雅黑" w:eastAsia="微软雅黑" w:hAnsi="微软雅黑" w:cs="宋体"/>
          <w:color w:val="000000"/>
          <w:kern w:val="0"/>
          <w:szCs w:val="21"/>
        </w:rPr>
      </w:pPr>
      <w:r w:rsidRPr="00D67C07">
        <w:rPr>
          <w:rFonts w:ascii="微软雅黑" w:eastAsia="微软雅黑" w:hAnsi="微软雅黑" w:cs="宋体" w:hint="eastAsia"/>
          <w:b/>
          <w:bCs/>
          <w:color w:val="000000"/>
          <w:kern w:val="0"/>
          <w:sz w:val="44"/>
          <w:szCs w:val="44"/>
        </w:rPr>
        <w:t>高等学校预防与处理学术不端行为办法</w:t>
      </w:r>
    </w:p>
    <w:p w:rsidR="00D67C07" w:rsidRPr="00D67C07" w:rsidRDefault="00D67C07" w:rsidP="00D67C07">
      <w:pPr>
        <w:widowControl/>
        <w:shd w:val="clear" w:color="auto" w:fill="FFFFFF"/>
        <w:spacing w:before="100" w:beforeAutospacing="1" w:after="100" w:afterAutospacing="1" w:line="420" w:lineRule="atLeast"/>
        <w:jc w:val="center"/>
        <w:rPr>
          <w:rFonts w:ascii="微软雅黑" w:eastAsia="微软雅黑" w:hAnsi="微软雅黑" w:cs="宋体" w:hint="eastAsia"/>
          <w:color w:val="000000"/>
          <w:kern w:val="0"/>
          <w:szCs w:val="21"/>
        </w:rPr>
      </w:pPr>
      <w:r w:rsidRPr="00D67C07">
        <w:rPr>
          <w:rFonts w:ascii="微软雅黑" w:eastAsia="微软雅黑" w:hAnsi="微软雅黑" w:cs="宋体" w:hint="eastAsia"/>
          <w:color w:val="000000"/>
          <w:kern w:val="0"/>
          <w:szCs w:val="21"/>
        </w:rPr>
        <w:t>(中华人民共和国教育部令 第40号)</w:t>
      </w:r>
    </w:p>
    <w:p w:rsidR="00D67C07" w:rsidRPr="00D67C07" w:rsidRDefault="00D67C07" w:rsidP="00D67C07">
      <w:pPr>
        <w:widowControl/>
        <w:shd w:val="clear" w:color="auto" w:fill="FFFFFF"/>
        <w:adjustRightInd w:val="0"/>
        <w:snapToGrid w:val="0"/>
        <w:spacing w:line="360" w:lineRule="auto"/>
        <w:jc w:val="center"/>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第一章　总则</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第一条　为有效预防和严肃查处高等学校发生的学术不端行为，维护学术诚信，促进学术创新和发展，根据《中华人民共和国高等教育法》《中华人民共和国科学技术进步法》《中华人民共和国学位条例》等法律法规，制定本办法。</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FF0000"/>
          <w:kern w:val="0"/>
          <w:szCs w:val="21"/>
        </w:rPr>
      </w:pPr>
      <w:r w:rsidRPr="00D67C07">
        <w:rPr>
          <w:rFonts w:ascii="仿宋" w:eastAsia="仿宋" w:hAnsi="仿宋" w:cs="宋体" w:hint="eastAsia"/>
          <w:color w:val="000000"/>
          <w:kern w:val="0"/>
          <w:sz w:val="24"/>
          <w:szCs w:val="24"/>
        </w:rPr>
        <w:t xml:space="preserve">　　第二条　本办法所称学术不端行为是指高等学校及其教学科研人员、管理人员和学生，在科学研究及相关活动中发生的违反公认的学术准则、违背学术诚信的行为。</w:t>
      </w:r>
      <w:r w:rsidRPr="00D67C07">
        <w:rPr>
          <w:rFonts w:ascii="仿宋" w:eastAsia="仿宋" w:hAnsi="仿宋" w:cs="宋体" w:hint="eastAsia"/>
          <w:color w:val="FF0000"/>
          <w:kern w:val="0"/>
          <w:sz w:val="24"/>
          <w:szCs w:val="24"/>
        </w:rPr>
        <w:t>（对象）</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FF0000"/>
          <w:kern w:val="0"/>
          <w:sz w:val="24"/>
          <w:szCs w:val="24"/>
        </w:rPr>
      </w:pPr>
      <w:r w:rsidRPr="00D67C07">
        <w:rPr>
          <w:rFonts w:ascii="仿宋" w:eastAsia="仿宋" w:hAnsi="仿宋" w:cs="宋体" w:hint="eastAsia"/>
          <w:color w:val="000000"/>
          <w:kern w:val="0"/>
          <w:sz w:val="24"/>
          <w:szCs w:val="24"/>
        </w:rPr>
        <w:t xml:space="preserve">　　第三条　高等学校预防与处理学术不端行为应坚持</w:t>
      </w:r>
      <w:r w:rsidRPr="00D67C07">
        <w:rPr>
          <w:rFonts w:ascii="仿宋" w:eastAsia="仿宋" w:hAnsi="仿宋" w:cs="宋体" w:hint="eastAsia"/>
          <w:b/>
          <w:color w:val="000000"/>
          <w:kern w:val="0"/>
          <w:sz w:val="24"/>
          <w:szCs w:val="24"/>
        </w:rPr>
        <w:t>预防为主、教育与惩戒</w:t>
      </w:r>
      <w:r w:rsidRPr="00D67C07">
        <w:rPr>
          <w:rFonts w:ascii="仿宋" w:eastAsia="仿宋" w:hAnsi="仿宋" w:cs="宋体" w:hint="eastAsia"/>
          <w:color w:val="000000"/>
          <w:kern w:val="0"/>
          <w:sz w:val="24"/>
          <w:szCs w:val="24"/>
        </w:rPr>
        <w:t>结合的原则。</w:t>
      </w:r>
      <w:r w:rsidRPr="00D67C07">
        <w:rPr>
          <w:rFonts w:ascii="仿宋" w:eastAsia="仿宋" w:hAnsi="仿宋" w:cs="宋体" w:hint="eastAsia"/>
          <w:color w:val="FF0000"/>
          <w:kern w:val="0"/>
          <w:sz w:val="24"/>
          <w:szCs w:val="24"/>
        </w:rPr>
        <w:t>（工作原则）</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FF0000"/>
          <w:kern w:val="0"/>
          <w:szCs w:val="21"/>
        </w:rPr>
      </w:pPr>
      <w:r w:rsidRPr="00D67C07">
        <w:rPr>
          <w:rFonts w:ascii="仿宋" w:eastAsia="仿宋" w:hAnsi="仿宋" w:cs="宋体" w:hint="eastAsia"/>
          <w:color w:val="000000"/>
          <w:kern w:val="0"/>
          <w:sz w:val="24"/>
          <w:szCs w:val="24"/>
        </w:rPr>
        <w:t xml:space="preserve">　　第四条　教育部、国务院有关部门和省级教育部门负责制定高等学校学风建设的宏观政策，指导和监督高等学校学风建设工作，建立健全对所主管高等学校重大学术不端行为的处理机制，建立高校学术不端行为的通报与相关信息公开制度。</w:t>
      </w:r>
      <w:r w:rsidRPr="00D67C07">
        <w:rPr>
          <w:rFonts w:ascii="仿宋" w:eastAsia="仿宋" w:hAnsi="仿宋" w:cs="宋体" w:hint="eastAsia"/>
          <w:color w:val="FF0000"/>
          <w:kern w:val="0"/>
          <w:sz w:val="24"/>
          <w:szCs w:val="24"/>
        </w:rPr>
        <w:t>（职责分工：顶层）</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第五条　高等学校是学术不端行为预防与处理的主体。高等学校应当建设集教育、预防、监督、惩治于一体的学术诚信体系，建立由主要负责人领导的学风建设工作机制，明确职责分工；依据本办法完善本校学术不端行为预防与处理的规则与程序。</w:t>
      </w:r>
      <w:r w:rsidRPr="00D67C07">
        <w:rPr>
          <w:rFonts w:ascii="仿宋" w:eastAsia="仿宋" w:hAnsi="仿宋" w:cs="宋体" w:hint="eastAsia"/>
          <w:color w:val="FF0000"/>
          <w:kern w:val="0"/>
          <w:sz w:val="24"/>
          <w:szCs w:val="24"/>
        </w:rPr>
        <w:t>（职责分工：</w:t>
      </w:r>
      <w:r>
        <w:rPr>
          <w:rFonts w:ascii="仿宋" w:eastAsia="仿宋" w:hAnsi="仿宋" w:cs="宋体" w:hint="eastAsia"/>
          <w:color w:val="FF0000"/>
          <w:kern w:val="0"/>
          <w:sz w:val="24"/>
          <w:szCs w:val="24"/>
        </w:rPr>
        <w:t>高校</w:t>
      </w:r>
      <w:r w:rsidRPr="00D67C07">
        <w:rPr>
          <w:rFonts w:ascii="仿宋" w:eastAsia="仿宋" w:hAnsi="仿宋" w:cs="宋体" w:hint="eastAsia"/>
          <w:color w:val="FF0000"/>
          <w:kern w:val="0"/>
          <w:sz w:val="24"/>
          <w:szCs w:val="24"/>
        </w:rPr>
        <w:t>）</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高等学校应当充分发挥</w:t>
      </w:r>
      <w:r w:rsidRPr="00D67C07">
        <w:rPr>
          <w:rFonts w:ascii="仿宋" w:eastAsia="仿宋" w:hAnsi="仿宋" w:cs="宋体" w:hint="eastAsia"/>
          <w:color w:val="FF0000"/>
          <w:kern w:val="0"/>
          <w:sz w:val="24"/>
          <w:szCs w:val="24"/>
        </w:rPr>
        <w:t>学术委员会</w:t>
      </w:r>
      <w:r w:rsidRPr="00D67C07">
        <w:rPr>
          <w:rFonts w:ascii="仿宋" w:eastAsia="仿宋" w:hAnsi="仿宋" w:cs="宋体" w:hint="eastAsia"/>
          <w:color w:val="000000"/>
          <w:kern w:val="0"/>
          <w:sz w:val="24"/>
          <w:szCs w:val="24"/>
        </w:rPr>
        <w:t>在学风建设方面的作用，支持和保障学术委员会依法履行职责，调查、认定学术不端行为。</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第二章　教育与预防</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第六条　高等学校应当完善</w:t>
      </w:r>
      <w:r w:rsidRPr="00D67C07">
        <w:rPr>
          <w:rFonts w:ascii="仿宋" w:eastAsia="仿宋" w:hAnsi="仿宋" w:cs="宋体" w:hint="eastAsia"/>
          <w:color w:val="FF0000"/>
          <w:kern w:val="0"/>
          <w:sz w:val="24"/>
          <w:szCs w:val="24"/>
        </w:rPr>
        <w:t>学术治理体系</w:t>
      </w:r>
      <w:r w:rsidRPr="00D67C07">
        <w:rPr>
          <w:rFonts w:ascii="仿宋" w:eastAsia="仿宋" w:hAnsi="仿宋" w:cs="宋体" w:hint="eastAsia"/>
          <w:color w:val="000000"/>
          <w:kern w:val="0"/>
          <w:sz w:val="24"/>
          <w:szCs w:val="24"/>
        </w:rPr>
        <w:t>，建立科学公正的学术评价和学术发展制度，营造鼓励创新、宽容失败、不骄不躁、风清气正的学术环境。</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高等学校教学科研人员、管理人员、学生在科研活动中应当</w:t>
      </w:r>
      <w:r w:rsidRPr="00D67C07">
        <w:rPr>
          <w:rFonts w:ascii="仿宋" w:eastAsia="仿宋" w:hAnsi="仿宋" w:cs="宋体" w:hint="eastAsia"/>
          <w:color w:val="FF0000"/>
          <w:kern w:val="0"/>
          <w:sz w:val="24"/>
          <w:szCs w:val="24"/>
        </w:rPr>
        <w:t>遵循实事求是</w:t>
      </w:r>
      <w:r w:rsidRPr="00D67C07">
        <w:rPr>
          <w:rFonts w:ascii="仿宋" w:eastAsia="仿宋" w:hAnsi="仿宋" w:cs="宋体" w:hint="eastAsia"/>
          <w:color w:val="000000"/>
          <w:kern w:val="0"/>
          <w:sz w:val="24"/>
          <w:szCs w:val="24"/>
        </w:rPr>
        <w:t>的科学精神和严谨认真的治学态度，恪守学术诚信，</w:t>
      </w:r>
      <w:r w:rsidRPr="00D67C07">
        <w:rPr>
          <w:rFonts w:ascii="仿宋" w:eastAsia="仿宋" w:hAnsi="仿宋" w:cs="宋体" w:hint="eastAsia"/>
          <w:color w:val="FF0000"/>
          <w:kern w:val="0"/>
          <w:sz w:val="24"/>
          <w:szCs w:val="24"/>
        </w:rPr>
        <w:t>遵循学术准则</w:t>
      </w:r>
      <w:r w:rsidRPr="00D67C07">
        <w:rPr>
          <w:rFonts w:ascii="仿宋" w:eastAsia="仿宋" w:hAnsi="仿宋" w:cs="宋体" w:hint="eastAsia"/>
          <w:color w:val="000000"/>
          <w:kern w:val="0"/>
          <w:sz w:val="24"/>
          <w:szCs w:val="24"/>
        </w:rPr>
        <w:t>，尊重和保护他人知识产权等合法权益。</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lastRenderedPageBreak/>
        <w:t xml:space="preserve">　　第七条　高等学校应当将学术规范和学术诚信教育，</w:t>
      </w:r>
      <w:r w:rsidRPr="00D67C07">
        <w:rPr>
          <w:rFonts w:ascii="仿宋" w:eastAsia="仿宋" w:hAnsi="仿宋" w:cs="宋体" w:hint="eastAsia"/>
          <w:b/>
          <w:color w:val="FF0000"/>
          <w:kern w:val="0"/>
          <w:sz w:val="24"/>
          <w:szCs w:val="24"/>
        </w:rPr>
        <w:t>作为教师培训和学生教育的必要内容</w:t>
      </w:r>
      <w:r w:rsidRPr="00D67C07">
        <w:rPr>
          <w:rFonts w:ascii="仿宋" w:eastAsia="仿宋" w:hAnsi="仿宋" w:cs="宋体" w:hint="eastAsia"/>
          <w:color w:val="000000"/>
          <w:kern w:val="0"/>
          <w:sz w:val="24"/>
          <w:szCs w:val="24"/>
        </w:rPr>
        <w:t>，以多种形式开展教育、培训。</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教师对其指导的学生应当进行学术规范、学术诚信教育和指导，对学生公开发表论文、研究和撰写学位论文是否符合学术规范、学术诚信要求，进行必要的检查与审核。</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第八条　高等学校应当利用信息技术等手段，建立对学术成果、学位论文所涉及内容的知识产权查询制度，健全学术规范监督机制。</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第九条　高等学校应当建立健全科研管理制度，在合理期限内保存研究的原始数据和资料，保证科研档案和数据的真实性、完整性。</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高等学校应当完善科研项目评审、学术成果鉴定程序，结合学科特点，对非涉密的科研项目申报材料、学术成果的基本信息以适当方式进行公开。</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第十条　高等学校应当遵循学术研究规律，建立科学的学术水平考核评价标准、办法，引导教学科研人员和学生潜心研究，形成具有创新性、独创性的研究成果。</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第十一条　高等学校应当建立教学科研人员学术诚信记录，在年度考核、职称评定、岗位聘用、课题立项、人才计划、评优奖励中强化学术诚信考核。</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第三章　受理与调查</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第十二条　高等学校应当明确具体部门，负责受理社会组织、个人对本校教学科研人员、管理人员及学生学术不端行为的举报；有条件的，可以设立专门岗位或者指定专人，负责学术诚信和不端行为举报相关事宜的咨询、受理、调查等工作。</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第十三条　对学术不端行为的举报，一般应当以书面方式实名提出，并符合下列条件：</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（一）有明确的举报对象；</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（二）有实施学术不端行为的事实；</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（三）有客观的证据材料或者查证线索。</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以匿名方式举报，但事实清楚、证据充分或者线索明确的，高等学校应当视情况予以受理。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第十四条　高等学校对媒体公开报道、其他学术机构或者社会组织主动披露的涉及本校人员的学术不端行为，应当依据职权，主动进行调查处理。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lastRenderedPageBreak/>
        <w:t xml:space="preserve">　　第十五条　高等学校受理机构认为举报材料符合条件的，应当及时</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受理决定，并通知举报人。不予受理的，应当书面说明理由。</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第十六条　学术不端行为举报受理后，应当交由学校学术委员会按照相关程序组织开展调查。</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学术委员会可委托有关专家就举报内容的合理性、调查的可能性等进行初步审查，并</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是否进入正式调查的决定。</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决定不进入正式调查的，应当告知举报人。举报人如有新的证据，可以提出异议。异议成立的，应当进入正式调查。</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第十七条　高等学校学术委员会决定进入正式调查的，应当通知被举报人。</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被调查行为涉及资助项目的，可以同时通知项目资助方。</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第十八条　高等学校学术委员会应当组成调查组，负责对被举报行为进行调查；但对事实清楚、证据确凿、情节简单的被举报行为，也可以采用简易调查程序，具体办法由学术委员会确定。</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调查组应当不少于３人，必要时应当包括学校纪检、监察机构指派的工作人员，可以邀请同行专家参与调查或者以咨询等方式提供学术判断。</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被调查行为涉及资助项目的，可以邀请项目资助方委派相关专业人员参与调查组。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第十九条　调查组的组成人员与举报人或者被举报人有合作研究、亲属或者导师学生等直接利害关系的，应当回避。</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第二十条　调查可通过查询资料、现场查看、实验检验、询问证人、询问举报人和被举报人等方式进行。调查组认为有必要的，可以委托无利害关系的专家或者第三</w:t>
      </w:r>
      <w:proofErr w:type="gramStart"/>
      <w:r w:rsidRPr="00D67C07">
        <w:rPr>
          <w:rFonts w:ascii="仿宋" w:eastAsia="仿宋" w:hAnsi="仿宋" w:cs="宋体" w:hint="eastAsia"/>
          <w:color w:val="000000"/>
          <w:kern w:val="0"/>
          <w:sz w:val="24"/>
          <w:szCs w:val="24"/>
        </w:rPr>
        <w:t>方专业</w:t>
      </w:r>
      <w:proofErr w:type="gramEnd"/>
      <w:r w:rsidRPr="00D67C07">
        <w:rPr>
          <w:rFonts w:ascii="仿宋" w:eastAsia="仿宋" w:hAnsi="仿宋" w:cs="宋体" w:hint="eastAsia"/>
          <w:color w:val="000000"/>
          <w:kern w:val="0"/>
          <w:sz w:val="24"/>
          <w:szCs w:val="24"/>
        </w:rPr>
        <w:t>机构就有关事项进行独立调查或者验证。</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第二十一条　调查组在调查过程中，应当认真听取被举报人的陈述、申辩，对有关事实、理由和证据进行核实；认为必要的，可以采取听证方式。</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第二十二条　有关单位和个人应当为调查组开展工作提供必要的便利和协助。</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举报人、被举报人、证人及其他有关人员应当如实回答询问，配合调查，提供相关证据材料，不得隐瞒或者提供虚假信息。</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第二十三条　调查过程中，出现知识产权等争议引发的法律纠纷的，且该争议可能影响行为定性的，应当中止调查，待争议解决后重启调查。</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lastRenderedPageBreak/>
        <w:t xml:space="preserve">　　第二十四条　调查组应当在查清事实的基础上形成调查报告。调查报告应当包括学术不端行为责任人的确认、调查过程、事实认定及理由、调查结论等。</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学术不端行为由多人集体做出的，调查报告中应当区别各责任人在行为中所发挥的作用。</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第二十五条　接触举报材料和参与调查处理的人员，不得向无关人员透露举报人、被举报人个人信息及调查情况。</w:t>
      </w:r>
    </w:p>
    <w:p w:rsidR="00D67C07" w:rsidRPr="00D67C07" w:rsidRDefault="00D67C07" w:rsidP="00B73864">
      <w:pPr>
        <w:widowControl/>
        <w:shd w:val="clear" w:color="auto" w:fill="FFFFFF"/>
        <w:adjustRightInd w:val="0"/>
        <w:snapToGrid w:val="0"/>
        <w:spacing w:line="360" w:lineRule="auto"/>
        <w:jc w:val="center"/>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第四章　认定</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第二十六条　高等学校学术委员会应当对调查组提交的调查报告进行审查；必要的，应当听取调查组的汇报。</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学术委员会可以召开全体会议或者授权专门委员会对被调查行为是否构成学术不端行为以及行为的性质、情节等</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认定结论，并依职权</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处理或建议学校</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相应处理。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第二十七条　经调查，确认被举报人在科学研究及相关活动中有下列行为之一的，应当认定为构成学术不端行为：</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（一）剽窃、抄袭、侵占他人学术成果；</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（二）篡改他人研究成果；</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（三）伪造科研数据、资料、文献、注释，或者捏造事实、编造虚假研究成果；</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（四）未参加研究或创作而在研究成果、学术论文上署名，未经他人许可而不当使用他人署名，虚构合作者共同署名，或者多人共同完成研究而在成果中未注明他人工作、贡献；</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（五）在申报课题、成果、奖励和职务评审评定、申请学位等过程中提供虚假学术信息；</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（六）买卖论文、由他人代写或者为他人代写论文；</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（七）其他根据高等学校或者有关学术组织、相关科研管理机构制定的规则，属于学术不端的行为。</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第二十八条　有学术不端行为且有下列情形之一的，应当认定为情节严重：</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（一）造成恶劣影响的；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（二）存在利益输送或者利益交换的；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（三）对举报人进行打击报复的；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lastRenderedPageBreak/>
        <w:t xml:space="preserve">　　（四）有组织实施学术不端行为的；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（五）多次实施学术不端行为的；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（六）其他造成严重后果或者恶劣影响的。</w:t>
      </w:r>
    </w:p>
    <w:p w:rsidR="00D67C07" w:rsidRPr="00D67C07" w:rsidRDefault="00D67C07" w:rsidP="00B73864">
      <w:pPr>
        <w:widowControl/>
        <w:shd w:val="clear" w:color="auto" w:fill="FFFFFF"/>
        <w:adjustRightInd w:val="0"/>
        <w:snapToGrid w:val="0"/>
        <w:spacing w:line="360" w:lineRule="auto"/>
        <w:jc w:val="center"/>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第五章　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第二十九条　高等学校应当根据学术委员会的认定结论和处理建议，结合行为性质和情节轻重，依职权和规定程序对学术不端行为责任人</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如下处理：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（一）通报批评；</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（二）终止或者撤销相关的科研项目，并在一定期限内取消申请资格；</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（三）撤销学术奖励或者荣誉称号；</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（四）辞退或解聘；</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（五）法律、法规及规章规定的其他处理措施。</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同时，可以依照有关规定，给予警告、记过、降低岗位等级或者撤职、开除等处分。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学术不端行为责任人获得有关部门、机构设立的科研项目、学术奖励或者荣誉称号等利益的，学校应当同时向有关主管部门提出处理建议。</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学生有学术不端行为的，还应当按照学生管理的相关规定，给予相应的学籍处分。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学术不端行为与获得学位有直接关联的，由学位授予单位作暂缓授予学位、不授予学位或者依法撤销学位等处理。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第三十条　高等学校对学术不端行为</w:t>
      </w:r>
      <w:proofErr w:type="gramStart"/>
      <w:r w:rsidRPr="00D67C07">
        <w:rPr>
          <w:rFonts w:ascii="仿宋" w:eastAsia="仿宋" w:hAnsi="仿宋" w:cs="宋体" w:hint="eastAsia"/>
          <w:color w:val="000000"/>
          <w:kern w:val="0"/>
          <w:sz w:val="24"/>
          <w:szCs w:val="24"/>
        </w:rPr>
        <w:t>作出</w:t>
      </w:r>
      <w:proofErr w:type="gramEnd"/>
      <w:r w:rsidRPr="00D67C07">
        <w:rPr>
          <w:rFonts w:ascii="仿宋" w:eastAsia="仿宋" w:hAnsi="仿宋" w:cs="宋体" w:hint="eastAsia"/>
          <w:color w:val="000000"/>
          <w:kern w:val="0"/>
          <w:sz w:val="24"/>
          <w:szCs w:val="24"/>
        </w:rPr>
        <w:t>处理决定，应当制作处理决定书，载明以下内容：</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（一）责任人的基本情况；</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（二）经查证的学术不端行为事实；</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（三）处理意见和依据；</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（四）救济途径和期限；</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（五）其他必要内容。</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第三十一条　经调查认定，不构成学术不端行为的，根据被举报人申请，高等学校应当通过一定方式为其消除影响、恢复名誉等。</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调查处理过程中，发现举报人存在捏造事实、诬告陷害等行为的，应当认定为举报不实或者虚假举报，举报人应当承担相应责任。属于本单位人员的，高等</w:t>
      </w:r>
      <w:r w:rsidRPr="00D67C07">
        <w:rPr>
          <w:rFonts w:ascii="仿宋" w:eastAsia="仿宋" w:hAnsi="仿宋" w:cs="宋体" w:hint="eastAsia"/>
          <w:color w:val="000000"/>
          <w:kern w:val="0"/>
          <w:sz w:val="24"/>
          <w:szCs w:val="24"/>
        </w:rPr>
        <w:lastRenderedPageBreak/>
        <w:t>学校应当按照有关规定给</w:t>
      </w:r>
      <w:proofErr w:type="gramStart"/>
      <w:r w:rsidRPr="00D67C07">
        <w:rPr>
          <w:rFonts w:ascii="仿宋" w:eastAsia="仿宋" w:hAnsi="仿宋" w:cs="宋体" w:hint="eastAsia"/>
          <w:color w:val="000000"/>
          <w:kern w:val="0"/>
          <w:sz w:val="24"/>
          <w:szCs w:val="24"/>
        </w:rPr>
        <w:t>予处理</w:t>
      </w:r>
      <w:proofErr w:type="gramEnd"/>
      <w:r w:rsidRPr="00D67C07">
        <w:rPr>
          <w:rFonts w:ascii="仿宋" w:eastAsia="仿宋" w:hAnsi="仿宋" w:cs="宋体" w:hint="eastAsia"/>
          <w:color w:val="000000"/>
          <w:kern w:val="0"/>
          <w:sz w:val="24"/>
          <w:szCs w:val="24"/>
        </w:rPr>
        <w:t>；不属于本单位人员的，应通报其所在单位，并提出处理建议。</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第三十二条　参与举报受理、调查和处理的人员违反保密等规定，造成不良影响的，按照有关规定给予处分或其他处理。</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b/>
          <w:bCs/>
          <w:color w:val="000000"/>
          <w:kern w:val="0"/>
          <w:sz w:val="24"/>
          <w:szCs w:val="24"/>
        </w:rPr>
        <w:t>第六章　复核</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第三十三条　举报人或者学术不端行为责任人对处理决定不服的，可以在收到处理决定之日起30日内，以书面形式向高等学校提出异议或者复核申请。</w:t>
      </w:r>
    </w:p>
    <w:p w:rsidR="00D67C07" w:rsidRPr="00D67C07" w:rsidRDefault="00D67C07" w:rsidP="00D67C07">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 w:val="24"/>
          <w:szCs w:val="24"/>
        </w:rPr>
        <w:t xml:space="preserve">　　异议和复核不影响处理决定的执行。</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微软雅黑" w:eastAsia="微软雅黑" w:hAnsi="微软雅黑" w:cs="宋体" w:hint="eastAsia"/>
          <w:color w:val="000000"/>
          <w:kern w:val="0"/>
          <w:sz w:val="24"/>
          <w:szCs w:val="24"/>
        </w:rPr>
        <w:t xml:space="preserve">　　</w:t>
      </w:r>
      <w:r w:rsidRPr="00D67C07">
        <w:rPr>
          <w:rFonts w:ascii="仿宋" w:eastAsia="仿宋" w:hAnsi="仿宋" w:cs="宋体" w:hint="eastAsia"/>
          <w:color w:val="000000"/>
          <w:kern w:val="0"/>
          <w:szCs w:val="21"/>
        </w:rPr>
        <w:t>第三十四条　高等学校收到异议或者复核申请后，应当交由学术委员会组织讨论，并于15日内</w:t>
      </w:r>
      <w:proofErr w:type="gramStart"/>
      <w:r w:rsidRPr="00D67C07">
        <w:rPr>
          <w:rFonts w:ascii="仿宋" w:eastAsia="仿宋" w:hAnsi="仿宋" w:cs="宋体" w:hint="eastAsia"/>
          <w:color w:val="000000"/>
          <w:kern w:val="0"/>
          <w:szCs w:val="21"/>
        </w:rPr>
        <w:t>作出</w:t>
      </w:r>
      <w:proofErr w:type="gramEnd"/>
      <w:r w:rsidRPr="00D67C07">
        <w:rPr>
          <w:rFonts w:ascii="仿宋" w:eastAsia="仿宋" w:hAnsi="仿宋" w:cs="宋体" w:hint="eastAsia"/>
          <w:color w:val="000000"/>
          <w:kern w:val="0"/>
          <w:szCs w:val="21"/>
        </w:rPr>
        <w:t>是否受理的决定。</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决定受理的，学校或者学术委员会可以另行组织调查组或者委托第三方机构进行调查；决定不予受理的，应当书面通知当事人。</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第三十五条　当事人对复核决定不服，仍以同一事实和理由提出异议或者申请复核的，不予受理；向有关主管部门提出申诉的，按照相关规定执行。</w:t>
      </w:r>
    </w:p>
    <w:p w:rsidR="00D67C07" w:rsidRPr="00D67C07" w:rsidRDefault="00D67C07" w:rsidP="00D67C07">
      <w:pPr>
        <w:widowControl/>
        <w:shd w:val="clear" w:color="auto" w:fill="FFFFFF"/>
        <w:spacing w:before="100" w:beforeAutospacing="1" w:after="100" w:afterAutospacing="1" w:line="420" w:lineRule="atLeast"/>
        <w:jc w:val="center"/>
        <w:rPr>
          <w:rFonts w:ascii="微软雅黑" w:eastAsia="微软雅黑" w:hAnsi="微软雅黑" w:cs="宋体" w:hint="eastAsia"/>
          <w:color w:val="000000"/>
          <w:kern w:val="0"/>
          <w:szCs w:val="21"/>
        </w:rPr>
      </w:pPr>
      <w:r w:rsidRPr="00D67C07">
        <w:rPr>
          <w:rFonts w:ascii="微软雅黑" w:eastAsia="微软雅黑" w:hAnsi="微软雅黑" w:cs="宋体" w:hint="eastAsia"/>
          <w:b/>
          <w:bCs/>
          <w:color w:val="000000"/>
          <w:kern w:val="0"/>
          <w:sz w:val="24"/>
          <w:szCs w:val="24"/>
        </w:rPr>
        <w:t>第七章　监督</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微软雅黑" w:eastAsia="微软雅黑" w:hAnsi="微软雅黑" w:cs="宋体" w:hint="eastAsia"/>
          <w:color w:val="000000"/>
          <w:kern w:val="0"/>
          <w:sz w:val="24"/>
          <w:szCs w:val="24"/>
        </w:rPr>
        <w:t xml:space="preserve">　　</w:t>
      </w:r>
      <w:r w:rsidRPr="00D67C07">
        <w:rPr>
          <w:rFonts w:ascii="仿宋" w:eastAsia="仿宋" w:hAnsi="仿宋" w:cs="宋体" w:hint="eastAsia"/>
          <w:color w:val="000000"/>
          <w:kern w:val="0"/>
          <w:szCs w:val="21"/>
        </w:rPr>
        <w:t>第三十六条　高等学校应当按年度发布学风建设工作报告，并向社会公开，接受社会监督。</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第三十七条　高等学校处理学术不端行为推诿塞责、隐瞒包庇、查处不力的，主管部门可以直接组织或者委托相关机构查处。</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第三十八条　高等学校对本校发生的学术不端行为，未能及时查处并做出公正结论，造成恶劣影响的，主管部门应当追究相关领导的责任，并进行通报。</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高等学校为获得相关利益，有组织实施学术不端行为的，主管部门调查确认后，应当撤销高等学校由此获得的相关权利、项目以及其他利益，并追究学校主要负责人、直接负责人的责任。</w:t>
      </w:r>
    </w:p>
    <w:p w:rsidR="00D67C07" w:rsidRPr="00D67C07" w:rsidRDefault="00D67C07" w:rsidP="00D67C07">
      <w:pPr>
        <w:widowControl/>
        <w:shd w:val="clear" w:color="auto" w:fill="FFFFFF"/>
        <w:spacing w:before="100" w:beforeAutospacing="1" w:after="100" w:afterAutospacing="1" w:line="420" w:lineRule="atLeast"/>
        <w:jc w:val="center"/>
        <w:rPr>
          <w:rFonts w:ascii="微软雅黑" w:eastAsia="微软雅黑" w:hAnsi="微软雅黑" w:cs="宋体" w:hint="eastAsia"/>
          <w:color w:val="000000"/>
          <w:kern w:val="0"/>
          <w:szCs w:val="21"/>
        </w:rPr>
      </w:pPr>
      <w:r w:rsidRPr="00D67C07">
        <w:rPr>
          <w:rFonts w:ascii="微软雅黑" w:eastAsia="微软雅黑" w:hAnsi="微软雅黑" w:cs="宋体" w:hint="eastAsia"/>
          <w:b/>
          <w:bCs/>
          <w:color w:val="000000"/>
          <w:kern w:val="0"/>
          <w:sz w:val="24"/>
          <w:szCs w:val="24"/>
        </w:rPr>
        <w:t>第八章　附则</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微软雅黑" w:eastAsia="微软雅黑" w:hAnsi="微软雅黑" w:cs="宋体" w:hint="eastAsia"/>
          <w:color w:val="000000"/>
          <w:kern w:val="0"/>
          <w:sz w:val="24"/>
          <w:szCs w:val="24"/>
        </w:rPr>
        <w:t xml:space="preserve">　　</w:t>
      </w:r>
      <w:r w:rsidRPr="00D67C07">
        <w:rPr>
          <w:rFonts w:ascii="仿宋" w:eastAsia="仿宋" w:hAnsi="仿宋" w:cs="宋体" w:hint="eastAsia"/>
          <w:color w:val="000000"/>
          <w:kern w:val="0"/>
          <w:szCs w:val="21"/>
        </w:rPr>
        <w:t>第三十九条　高等学校应当根据本办法，结合学校实际和学科特点，</w:t>
      </w:r>
      <w:r w:rsidRPr="00D67C07">
        <w:rPr>
          <w:rFonts w:ascii="仿宋" w:eastAsia="仿宋" w:hAnsi="仿宋" w:cs="宋体" w:hint="eastAsia"/>
          <w:b/>
          <w:color w:val="FF0000"/>
          <w:kern w:val="0"/>
          <w:szCs w:val="21"/>
        </w:rPr>
        <w:t>制定本校</w:t>
      </w:r>
      <w:bookmarkStart w:id="0" w:name="_GoBack"/>
      <w:r w:rsidRPr="00D67C07">
        <w:rPr>
          <w:rFonts w:ascii="仿宋" w:eastAsia="仿宋" w:hAnsi="仿宋" w:cs="宋体" w:hint="eastAsia"/>
          <w:b/>
          <w:color w:val="FF0000"/>
          <w:kern w:val="0"/>
          <w:szCs w:val="21"/>
        </w:rPr>
        <w:t>学术不端行为查处规则及处理办法</w:t>
      </w:r>
      <w:bookmarkEnd w:id="0"/>
      <w:r w:rsidRPr="00D67C07">
        <w:rPr>
          <w:rFonts w:ascii="仿宋" w:eastAsia="仿宋" w:hAnsi="仿宋" w:cs="宋体" w:hint="eastAsia"/>
          <w:b/>
          <w:color w:val="FF0000"/>
          <w:kern w:val="0"/>
          <w:szCs w:val="21"/>
        </w:rPr>
        <w:t>，明确各类学术不端行为的惩处标准。有关规则应当经学校学术委员会和教职工代表大会讨论通过。</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lastRenderedPageBreak/>
        <w:t xml:space="preserve">　　第四十条　高等学校主管部门对直接受理的学术不端案件，可自行组织调查组或者指定、委托高等学校、有关机构组织调查、认定。对学术不端行为责任人的处理，根据本办法及国家有关规定执行。</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教育系统所属科研机构及其他单位有关人员学术不端行为的调查与处理，可参照本办法执行。</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第四十一条　本办法自2016年9月1日起施行。</w:t>
      </w:r>
    </w:p>
    <w:p w:rsidR="00D67C07" w:rsidRPr="00D67C07" w:rsidRDefault="00D67C07" w:rsidP="00B73864">
      <w:pPr>
        <w:widowControl/>
        <w:shd w:val="clear" w:color="auto" w:fill="FFFFFF"/>
        <w:adjustRightInd w:val="0"/>
        <w:snapToGrid w:val="0"/>
        <w:spacing w:line="360" w:lineRule="auto"/>
        <w:rPr>
          <w:rFonts w:ascii="仿宋" w:eastAsia="仿宋" w:hAnsi="仿宋" w:cs="宋体" w:hint="eastAsia"/>
          <w:color w:val="000000"/>
          <w:kern w:val="0"/>
          <w:szCs w:val="21"/>
        </w:rPr>
      </w:pPr>
      <w:r w:rsidRPr="00D67C07">
        <w:rPr>
          <w:rFonts w:ascii="仿宋" w:eastAsia="仿宋" w:hAnsi="仿宋" w:cs="宋体" w:hint="eastAsia"/>
          <w:color w:val="000000"/>
          <w:kern w:val="0"/>
          <w:szCs w:val="21"/>
        </w:rPr>
        <w:t xml:space="preserve">　　教育部此前发布的有关规章、文件中的相关规定与本办法不一致的，以本办法为准。</w:t>
      </w:r>
    </w:p>
    <w:p w:rsidR="00D67C07" w:rsidRPr="00D67C07" w:rsidRDefault="00D67C07" w:rsidP="00D67C07">
      <w:pPr>
        <w:widowControl/>
        <w:spacing w:line="360" w:lineRule="atLeast"/>
        <w:jc w:val="left"/>
        <w:rPr>
          <w:rFonts w:ascii="宋体" w:eastAsia="宋体" w:hAnsi="宋体" w:cs="宋体"/>
          <w:kern w:val="0"/>
          <w:szCs w:val="21"/>
        </w:rPr>
      </w:pPr>
    </w:p>
    <w:p w:rsidR="00D67C07" w:rsidRPr="00D67C07" w:rsidRDefault="00D67C07" w:rsidP="00D67C07">
      <w:pPr>
        <w:widowControl/>
        <w:jc w:val="center"/>
        <w:rPr>
          <w:rFonts w:ascii="宋体" w:eastAsia="宋体" w:hAnsi="宋体" w:cs="宋体"/>
          <w:kern w:val="0"/>
          <w:sz w:val="20"/>
          <w:szCs w:val="20"/>
        </w:rPr>
      </w:pPr>
    </w:p>
    <w:p w:rsidR="00CB3F06" w:rsidRDefault="00CB3F06"/>
    <w:sectPr w:rsidR="00CB3F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16F"/>
    <w:rsid w:val="000C624C"/>
    <w:rsid w:val="005D176F"/>
    <w:rsid w:val="007B416F"/>
    <w:rsid w:val="00B73864"/>
    <w:rsid w:val="00CB3F06"/>
    <w:rsid w:val="00D67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
    <w:name w:val="style2"/>
    <w:basedOn w:val="a0"/>
    <w:rsid w:val="00D67C07"/>
  </w:style>
  <w:style w:type="paragraph" w:styleId="a3">
    <w:name w:val="Normal (Web)"/>
    <w:basedOn w:val="a"/>
    <w:uiPriority w:val="99"/>
    <w:semiHidden/>
    <w:unhideWhenUsed/>
    <w:rsid w:val="00D67C0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7C07"/>
    <w:rPr>
      <w:b/>
      <w:bCs/>
    </w:rPr>
  </w:style>
  <w:style w:type="paragraph" w:styleId="a5">
    <w:name w:val="Balloon Text"/>
    <w:basedOn w:val="a"/>
    <w:link w:val="Char"/>
    <w:uiPriority w:val="99"/>
    <w:semiHidden/>
    <w:unhideWhenUsed/>
    <w:rsid w:val="00D67C07"/>
    <w:rPr>
      <w:sz w:val="18"/>
      <w:szCs w:val="18"/>
    </w:rPr>
  </w:style>
  <w:style w:type="character" w:customStyle="1" w:styleId="Char">
    <w:name w:val="批注框文本 Char"/>
    <w:basedOn w:val="a0"/>
    <w:link w:val="a5"/>
    <w:uiPriority w:val="99"/>
    <w:semiHidden/>
    <w:rsid w:val="00D67C0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
    <w:name w:val="style2"/>
    <w:basedOn w:val="a0"/>
    <w:rsid w:val="00D67C07"/>
  </w:style>
  <w:style w:type="paragraph" w:styleId="a3">
    <w:name w:val="Normal (Web)"/>
    <w:basedOn w:val="a"/>
    <w:uiPriority w:val="99"/>
    <w:semiHidden/>
    <w:unhideWhenUsed/>
    <w:rsid w:val="00D67C0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67C07"/>
    <w:rPr>
      <w:b/>
      <w:bCs/>
    </w:rPr>
  </w:style>
  <w:style w:type="paragraph" w:styleId="a5">
    <w:name w:val="Balloon Text"/>
    <w:basedOn w:val="a"/>
    <w:link w:val="Char"/>
    <w:uiPriority w:val="99"/>
    <w:semiHidden/>
    <w:unhideWhenUsed/>
    <w:rsid w:val="00D67C07"/>
    <w:rPr>
      <w:sz w:val="18"/>
      <w:szCs w:val="18"/>
    </w:rPr>
  </w:style>
  <w:style w:type="character" w:customStyle="1" w:styleId="Char">
    <w:name w:val="批注框文本 Char"/>
    <w:basedOn w:val="a0"/>
    <w:link w:val="a5"/>
    <w:uiPriority w:val="99"/>
    <w:semiHidden/>
    <w:rsid w:val="00D67C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090790">
      <w:bodyDiv w:val="1"/>
      <w:marLeft w:val="0"/>
      <w:marRight w:val="0"/>
      <w:marTop w:val="0"/>
      <w:marBottom w:val="0"/>
      <w:divBdr>
        <w:top w:val="none" w:sz="0" w:space="0" w:color="auto"/>
        <w:left w:val="none" w:sz="0" w:space="0" w:color="auto"/>
        <w:bottom w:val="none" w:sz="0" w:space="0" w:color="auto"/>
        <w:right w:val="none" w:sz="0" w:space="0" w:color="auto"/>
      </w:divBdr>
      <w:divsChild>
        <w:div w:id="866606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7</Pages>
  <Words>701</Words>
  <Characters>4002</Characters>
  <Application>Microsoft Office Word</Application>
  <DocSecurity>0</DocSecurity>
  <Lines>33</Lines>
  <Paragraphs>9</Paragraphs>
  <ScaleCrop>false</ScaleCrop>
  <Company>Microsoft</Company>
  <LinksUpToDate>false</LinksUpToDate>
  <CharactersWithSpaces>4694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2018-09-08T12:22:00Z</dcterms:created>
  <dcterms:modified xsi:type="dcterms:W3CDTF">2018-09-08T13:52:00Z</dcterms:modified>
</cp:coreProperties>
</file>